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2AF3A" w14:textId="6E7D9D0E" w:rsidR="00FE067E" w:rsidRPr="00BD2431" w:rsidRDefault="008B4A0C"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3FF1A32" wp14:editId="0CE705B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01C8778" w14:textId="552E1045" w:rsidR="008B4A0C" w:rsidRPr="008B4A0C" w:rsidRDefault="008B4A0C" w:rsidP="008B4A0C">
                            <w:pPr>
                              <w:spacing w:line="240" w:lineRule="auto"/>
                              <w:jc w:val="center"/>
                              <w:rPr>
                                <w:rFonts w:cs="Arial"/>
                                <w:b/>
                              </w:rPr>
                            </w:pPr>
                            <w:r w:rsidRPr="008B4A0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FF1A3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01C8778" w14:textId="552E1045" w:rsidR="008B4A0C" w:rsidRPr="008B4A0C" w:rsidRDefault="008B4A0C" w:rsidP="008B4A0C">
                      <w:pPr>
                        <w:spacing w:line="240" w:lineRule="auto"/>
                        <w:jc w:val="center"/>
                        <w:rPr>
                          <w:rFonts w:cs="Arial"/>
                          <w:b/>
                        </w:rPr>
                      </w:pPr>
                      <w:r w:rsidRPr="008B4A0C">
                        <w:rPr>
                          <w:rFonts w:cs="Arial"/>
                          <w:b/>
                        </w:rPr>
                        <w:t>FISCAL NOTE</w:t>
                      </w:r>
                    </w:p>
                  </w:txbxContent>
                </v:textbox>
              </v:shape>
            </w:pict>
          </mc:Fallback>
        </mc:AlternateContent>
      </w:r>
      <w:r w:rsidR="003C6034" w:rsidRPr="00BD2431">
        <w:rPr>
          <w:caps w:val="0"/>
          <w:color w:val="auto"/>
        </w:rPr>
        <w:t>WEST VIRGINIA LEGISLATURE</w:t>
      </w:r>
    </w:p>
    <w:p w14:paraId="2B98FE24" w14:textId="77777777" w:rsidR="00CD36CF" w:rsidRPr="00BD2431" w:rsidRDefault="00CD36CF" w:rsidP="00CC1F3B">
      <w:pPr>
        <w:pStyle w:val="TitlePageSession"/>
        <w:rPr>
          <w:color w:val="auto"/>
        </w:rPr>
      </w:pPr>
      <w:r w:rsidRPr="00BD2431">
        <w:rPr>
          <w:color w:val="auto"/>
        </w:rPr>
        <w:t>20</w:t>
      </w:r>
      <w:r w:rsidR="00EC5E63" w:rsidRPr="00BD2431">
        <w:rPr>
          <w:color w:val="auto"/>
        </w:rPr>
        <w:t>2</w:t>
      </w:r>
      <w:r w:rsidR="00B71E6F" w:rsidRPr="00BD2431">
        <w:rPr>
          <w:color w:val="auto"/>
        </w:rPr>
        <w:t>3</w:t>
      </w:r>
      <w:r w:rsidRPr="00BD2431">
        <w:rPr>
          <w:color w:val="auto"/>
        </w:rPr>
        <w:t xml:space="preserve"> </w:t>
      </w:r>
      <w:r w:rsidR="003C6034" w:rsidRPr="00BD2431">
        <w:rPr>
          <w:caps w:val="0"/>
          <w:color w:val="auto"/>
        </w:rPr>
        <w:t>REGULAR SESSION</w:t>
      </w:r>
    </w:p>
    <w:p w14:paraId="275A7C27" w14:textId="77777777" w:rsidR="00CD36CF" w:rsidRPr="00BD2431" w:rsidRDefault="002B1A29" w:rsidP="00CC1F3B">
      <w:pPr>
        <w:pStyle w:val="TitlePageBillPrefix"/>
        <w:rPr>
          <w:color w:val="auto"/>
        </w:rPr>
      </w:pPr>
      <w:sdt>
        <w:sdtPr>
          <w:rPr>
            <w:color w:val="auto"/>
          </w:rPr>
          <w:tag w:val="IntroDate"/>
          <w:id w:val="-1236936958"/>
          <w:placeholder>
            <w:docPart w:val="104CC756FBE840A28161AD1B39416E8F"/>
          </w:placeholder>
          <w:text/>
        </w:sdtPr>
        <w:sdtEndPr/>
        <w:sdtContent>
          <w:r w:rsidR="00AE48A0" w:rsidRPr="00BD2431">
            <w:rPr>
              <w:color w:val="auto"/>
            </w:rPr>
            <w:t>Introduced</w:t>
          </w:r>
        </w:sdtContent>
      </w:sdt>
    </w:p>
    <w:p w14:paraId="5559AC2C" w14:textId="2196177C" w:rsidR="00CD36CF" w:rsidRPr="00BD2431" w:rsidRDefault="002B1A29" w:rsidP="00CC1F3B">
      <w:pPr>
        <w:pStyle w:val="BillNumber"/>
        <w:rPr>
          <w:color w:val="auto"/>
        </w:rPr>
      </w:pPr>
      <w:sdt>
        <w:sdtPr>
          <w:rPr>
            <w:color w:val="auto"/>
          </w:rPr>
          <w:tag w:val="Chamber"/>
          <w:id w:val="893011969"/>
          <w:lock w:val="sdtLocked"/>
          <w:placeholder>
            <w:docPart w:val="126915A3801F41DB8CD2C6BAA864047D"/>
          </w:placeholder>
          <w:dropDownList>
            <w:listItem w:displayText="House" w:value="House"/>
            <w:listItem w:displayText="Senate" w:value="Senate"/>
          </w:dropDownList>
        </w:sdtPr>
        <w:sdtEndPr/>
        <w:sdtContent>
          <w:r w:rsidR="00C33434" w:rsidRPr="00BD2431">
            <w:rPr>
              <w:color w:val="auto"/>
            </w:rPr>
            <w:t>House</w:t>
          </w:r>
        </w:sdtContent>
      </w:sdt>
      <w:r w:rsidR="00303684" w:rsidRPr="00BD2431">
        <w:rPr>
          <w:color w:val="auto"/>
        </w:rPr>
        <w:t xml:space="preserve"> </w:t>
      </w:r>
      <w:r w:rsidR="00CD36CF" w:rsidRPr="00BD2431">
        <w:rPr>
          <w:color w:val="auto"/>
        </w:rPr>
        <w:t xml:space="preserve">Bill </w:t>
      </w:r>
      <w:sdt>
        <w:sdtPr>
          <w:rPr>
            <w:color w:val="auto"/>
          </w:rPr>
          <w:tag w:val="BNum"/>
          <w:id w:val="1645317809"/>
          <w:lock w:val="sdtLocked"/>
          <w:placeholder>
            <w:docPart w:val="1BA32CC05B2D4CF68513D5BE1C684EB4"/>
          </w:placeholder>
          <w:text/>
        </w:sdtPr>
        <w:sdtEndPr/>
        <w:sdtContent>
          <w:r>
            <w:rPr>
              <w:color w:val="auto"/>
            </w:rPr>
            <w:t>3382</w:t>
          </w:r>
        </w:sdtContent>
      </w:sdt>
    </w:p>
    <w:p w14:paraId="6C2F032D" w14:textId="532A87E3" w:rsidR="00CD36CF" w:rsidRPr="00BD2431" w:rsidRDefault="00CD36CF" w:rsidP="00CC1F3B">
      <w:pPr>
        <w:pStyle w:val="Sponsors"/>
        <w:rPr>
          <w:color w:val="auto"/>
        </w:rPr>
      </w:pPr>
      <w:r w:rsidRPr="00BD2431">
        <w:rPr>
          <w:color w:val="auto"/>
        </w:rPr>
        <w:t xml:space="preserve">By </w:t>
      </w:r>
      <w:sdt>
        <w:sdtPr>
          <w:rPr>
            <w:color w:val="auto"/>
          </w:rPr>
          <w:tag w:val="Sponsors"/>
          <w:id w:val="1589585889"/>
          <w:placeholder>
            <w:docPart w:val="AAD4F04ED68A456F9EEC03B15ACFE254"/>
          </w:placeholder>
          <w:text w:multiLine="1"/>
        </w:sdtPr>
        <w:sdtEndPr/>
        <w:sdtContent>
          <w:r w:rsidR="00AC3EB1" w:rsidRPr="00BD2431">
            <w:rPr>
              <w:color w:val="auto"/>
            </w:rPr>
            <w:t>Delegate Young</w:t>
          </w:r>
        </w:sdtContent>
      </w:sdt>
    </w:p>
    <w:p w14:paraId="6299C477" w14:textId="715D1936" w:rsidR="00E831B3" w:rsidRPr="00BD2431" w:rsidRDefault="00CD36CF" w:rsidP="00CC1F3B">
      <w:pPr>
        <w:pStyle w:val="References"/>
        <w:rPr>
          <w:color w:val="auto"/>
        </w:rPr>
      </w:pPr>
      <w:r w:rsidRPr="00BD2431">
        <w:rPr>
          <w:color w:val="auto"/>
        </w:rPr>
        <w:t>[</w:t>
      </w:r>
      <w:sdt>
        <w:sdtPr>
          <w:rPr>
            <w:color w:val="auto"/>
          </w:rPr>
          <w:tag w:val="References"/>
          <w:id w:val="-1043047873"/>
          <w:placeholder>
            <w:docPart w:val="9FF2C1C1015D40DEA84E67F0D1931023"/>
          </w:placeholder>
          <w:text w:multiLine="1"/>
        </w:sdtPr>
        <w:sdtEndPr/>
        <w:sdtContent>
          <w:r w:rsidR="002B1A29">
            <w:rPr>
              <w:color w:val="auto"/>
            </w:rPr>
            <w:t>Introduced February 13, 2023; Referred to the Committee on Finance</w:t>
          </w:r>
        </w:sdtContent>
      </w:sdt>
      <w:r w:rsidRPr="00BD2431">
        <w:rPr>
          <w:color w:val="auto"/>
        </w:rPr>
        <w:t>]</w:t>
      </w:r>
    </w:p>
    <w:p w14:paraId="4012F175" w14:textId="3A8A20D5" w:rsidR="00303684" w:rsidRPr="00BD2431" w:rsidRDefault="00AC3EB1" w:rsidP="00CC1F3B">
      <w:pPr>
        <w:pStyle w:val="TitleSection"/>
        <w:rPr>
          <w:color w:val="auto"/>
        </w:rPr>
      </w:pPr>
      <w:r w:rsidRPr="00BD2431">
        <w:rPr>
          <w:color w:val="auto"/>
        </w:rPr>
        <w:lastRenderedPageBreak/>
        <w:t>A BILL to amend the Code of West Virginia, 1931, as amended, by adding thereto a new article, designated §</w:t>
      </w:r>
      <w:r w:rsidR="00A01354" w:rsidRPr="00BD2431">
        <w:rPr>
          <w:color w:val="auto"/>
        </w:rPr>
        <w:t>11-29</w:t>
      </w:r>
      <w:r w:rsidRPr="00BD2431">
        <w:rPr>
          <w:color w:val="auto"/>
        </w:rPr>
        <w:t>-1 and §</w:t>
      </w:r>
      <w:r w:rsidR="00A01354" w:rsidRPr="00BD2431">
        <w:rPr>
          <w:color w:val="auto"/>
        </w:rPr>
        <w:t>11-29</w:t>
      </w:r>
      <w:r w:rsidRPr="00BD2431">
        <w:rPr>
          <w:color w:val="auto"/>
        </w:rPr>
        <w:t>-2</w:t>
      </w:r>
      <w:r w:rsidR="00560BE2" w:rsidRPr="00BD2431">
        <w:rPr>
          <w:color w:val="auto"/>
        </w:rPr>
        <w:t xml:space="preserve">, </w:t>
      </w:r>
      <w:r w:rsidRPr="00BD2431">
        <w:rPr>
          <w:color w:val="auto"/>
        </w:rPr>
        <w:t xml:space="preserve"> </w:t>
      </w:r>
      <w:r w:rsidR="00560BE2" w:rsidRPr="00BD2431">
        <w:rPr>
          <w:color w:val="auto"/>
        </w:rPr>
        <w:t>all</w:t>
      </w:r>
      <w:r w:rsidRPr="00BD2431">
        <w:rPr>
          <w:color w:val="auto"/>
        </w:rPr>
        <w:t xml:space="preserve"> </w:t>
      </w:r>
      <w:r w:rsidR="00D60DAD" w:rsidRPr="00BD2431">
        <w:rPr>
          <w:color w:val="auto"/>
        </w:rPr>
        <w:t xml:space="preserve">related to </w:t>
      </w:r>
      <w:r w:rsidRPr="00BD2431">
        <w:rPr>
          <w:color w:val="auto"/>
        </w:rPr>
        <w:t>setting the standards for and providing for a childcare tax credit.</w:t>
      </w:r>
    </w:p>
    <w:p w14:paraId="31C5E262" w14:textId="77777777" w:rsidR="00303684" w:rsidRPr="00BD2431" w:rsidRDefault="00303684" w:rsidP="00CC1F3B">
      <w:pPr>
        <w:pStyle w:val="EnactingClause"/>
        <w:rPr>
          <w:color w:val="auto"/>
        </w:rPr>
      </w:pPr>
      <w:r w:rsidRPr="00BD2431">
        <w:rPr>
          <w:color w:val="auto"/>
        </w:rPr>
        <w:t>Be it enacted by the Legislature of West Virginia:</w:t>
      </w:r>
    </w:p>
    <w:p w14:paraId="0F8A8B04" w14:textId="77777777" w:rsidR="003C6034" w:rsidRPr="00BD2431" w:rsidRDefault="003C6034" w:rsidP="00CC1F3B">
      <w:pPr>
        <w:pStyle w:val="EnactingClause"/>
        <w:rPr>
          <w:color w:val="auto"/>
        </w:rPr>
        <w:sectPr w:rsidR="003C6034" w:rsidRPr="00BD243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CFD753E" w14:textId="77A9C56D" w:rsidR="00C33014" w:rsidRPr="00BD2431" w:rsidRDefault="006B6C0A" w:rsidP="006B6C0A">
      <w:pPr>
        <w:pStyle w:val="ArticleHeading"/>
        <w:rPr>
          <w:color w:val="auto"/>
          <w:u w:val="single"/>
        </w:rPr>
      </w:pPr>
      <w:r w:rsidRPr="00BD2431">
        <w:rPr>
          <w:color w:val="auto"/>
          <w:u w:val="single"/>
        </w:rPr>
        <w:t xml:space="preserve">Article 29. </w:t>
      </w:r>
      <w:r w:rsidR="006521D4" w:rsidRPr="00BD2431">
        <w:rPr>
          <w:color w:val="auto"/>
          <w:u w:val="single"/>
        </w:rPr>
        <w:t>CHILD CARE TAX CREDIT</w:t>
      </w:r>
      <w:r w:rsidR="00427ABC" w:rsidRPr="00BD2431">
        <w:rPr>
          <w:color w:val="auto"/>
          <w:u w:val="single"/>
        </w:rPr>
        <w:t>.</w:t>
      </w:r>
    </w:p>
    <w:p w14:paraId="4C607BC6" w14:textId="1A72D276" w:rsidR="006521D4" w:rsidRPr="00BD2431" w:rsidRDefault="006521D4" w:rsidP="00022B59">
      <w:pPr>
        <w:pStyle w:val="SectionHeading"/>
        <w:rPr>
          <w:color w:val="auto"/>
          <w:u w:val="single"/>
        </w:rPr>
      </w:pPr>
      <w:r w:rsidRPr="00BD2431">
        <w:rPr>
          <w:color w:val="auto"/>
          <w:u w:val="single"/>
        </w:rPr>
        <w:t>§</w:t>
      </w:r>
      <w:r w:rsidR="00A01354" w:rsidRPr="00BD2431">
        <w:rPr>
          <w:color w:val="auto"/>
          <w:u w:val="single"/>
        </w:rPr>
        <w:t>11</w:t>
      </w:r>
      <w:r w:rsidRPr="00BD2431">
        <w:rPr>
          <w:color w:val="auto"/>
          <w:u w:val="single"/>
        </w:rPr>
        <w:t>-</w:t>
      </w:r>
      <w:r w:rsidR="00A01354" w:rsidRPr="00BD2431">
        <w:rPr>
          <w:color w:val="auto"/>
          <w:u w:val="single"/>
        </w:rPr>
        <w:t>29</w:t>
      </w:r>
      <w:r w:rsidRPr="00BD2431">
        <w:rPr>
          <w:color w:val="auto"/>
          <w:u w:val="single"/>
        </w:rPr>
        <w:t xml:space="preserve">-1. </w:t>
      </w:r>
      <w:r w:rsidR="00022B59" w:rsidRPr="00BD2431">
        <w:rPr>
          <w:color w:val="auto"/>
          <w:u w:val="single"/>
        </w:rPr>
        <w:t xml:space="preserve">Reduction to tax due; certain </w:t>
      </w:r>
      <w:r w:rsidR="00AC3EB1" w:rsidRPr="00BD2431">
        <w:rPr>
          <w:color w:val="auto"/>
          <w:u w:val="single"/>
        </w:rPr>
        <w:t>childcare</w:t>
      </w:r>
      <w:r w:rsidR="00022B59" w:rsidRPr="00BD2431">
        <w:rPr>
          <w:color w:val="auto"/>
          <w:u w:val="single"/>
        </w:rPr>
        <w:t xml:space="preserve"> expenses.</w:t>
      </w:r>
    </w:p>
    <w:p w14:paraId="09729E5B" w14:textId="40DE8623" w:rsidR="006521D4" w:rsidRPr="00BD2431" w:rsidRDefault="006521D4" w:rsidP="00022B59">
      <w:pPr>
        <w:pStyle w:val="SectionBody"/>
        <w:rPr>
          <w:color w:val="auto"/>
          <w:u w:val="single"/>
        </w:rPr>
      </w:pPr>
      <w:r w:rsidRPr="00BD2431">
        <w:rPr>
          <w:color w:val="auto"/>
          <w:u w:val="single"/>
        </w:rPr>
        <w:t>(a)</w:t>
      </w:r>
      <w:r w:rsidR="00312864" w:rsidRPr="00BD2431">
        <w:rPr>
          <w:color w:val="auto"/>
          <w:u w:val="single"/>
        </w:rPr>
        <w:t xml:space="preserve"> </w:t>
      </w:r>
      <w:r w:rsidRPr="00BD2431">
        <w:rPr>
          <w:color w:val="auto"/>
          <w:u w:val="single"/>
        </w:rPr>
        <w:t xml:space="preserve">There shall be a credit from the tax imposed by this </w:t>
      </w:r>
      <w:r w:rsidR="0027580D" w:rsidRPr="00BD2431">
        <w:rPr>
          <w:color w:val="auto"/>
          <w:u w:val="single"/>
        </w:rPr>
        <w:t>c</w:t>
      </w:r>
      <w:r w:rsidRPr="00BD2431">
        <w:rPr>
          <w:color w:val="auto"/>
          <w:u w:val="single"/>
        </w:rPr>
        <w:t>hapter for child care expenses for which a resident individual is eligible pursuant to the federal income tax credit provided by </w:t>
      </w:r>
      <w:hyperlink r:id="rId13" w:history="1">
        <w:r w:rsidRPr="00BD2431">
          <w:rPr>
            <w:rStyle w:val="Hyperlink"/>
            <w:color w:val="auto"/>
          </w:rPr>
          <w:t>Internal Revenue Code Section 21</w:t>
        </w:r>
      </w:hyperlink>
      <w:r w:rsidRPr="00BD2431">
        <w:rPr>
          <w:color w:val="auto"/>
          <w:u w:val="single"/>
        </w:rPr>
        <w:t> for the same taxable year. The credit shall be calculated using the following percentages:</w:t>
      </w:r>
    </w:p>
    <w:p w14:paraId="482624ED" w14:textId="75D4F0CF" w:rsidR="006521D4" w:rsidRPr="00BD2431" w:rsidRDefault="006521D4" w:rsidP="00022B59">
      <w:pPr>
        <w:pStyle w:val="SectionBody"/>
        <w:rPr>
          <w:color w:val="auto"/>
          <w:u w:val="single"/>
        </w:rPr>
      </w:pPr>
      <w:r w:rsidRPr="00BD2431">
        <w:rPr>
          <w:color w:val="auto"/>
          <w:u w:val="single"/>
        </w:rPr>
        <w:t xml:space="preserve">(1) If the resident individual’s federal adjusted gross income is equal to or less than </w:t>
      </w:r>
      <w:r w:rsidR="00D60DAD" w:rsidRPr="00BD2431">
        <w:rPr>
          <w:color w:val="auto"/>
          <w:u w:val="single"/>
        </w:rPr>
        <w:t>$25,000</w:t>
      </w:r>
      <w:r w:rsidRPr="00BD2431">
        <w:rPr>
          <w:color w:val="auto"/>
          <w:u w:val="single"/>
        </w:rPr>
        <w:t>, the credit shall be calculated based on the federal tax credit before it is reduced by the amount of the individual’s federal income tax and be equal to the following amounts for the following tax years:</w:t>
      </w:r>
    </w:p>
    <w:p w14:paraId="518D3316" w14:textId="232AB807" w:rsidR="006521D4" w:rsidRPr="00BD2431" w:rsidRDefault="006521D4" w:rsidP="00022B59">
      <w:pPr>
        <w:pStyle w:val="SectionBody"/>
        <w:rPr>
          <w:color w:val="auto"/>
          <w:u w:val="single"/>
        </w:rPr>
      </w:pPr>
      <w:r w:rsidRPr="00BD2431">
        <w:rPr>
          <w:color w:val="auto"/>
          <w:u w:val="single"/>
        </w:rPr>
        <w:t>(</w:t>
      </w:r>
      <w:r w:rsidR="00022B59" w:rsidRPr="00BD2431">
        <w:rPr>
          <w:color w:val="auto"/>
          <w:u w:val="single"/>
        </w:rPr>
        <w:t>A</w:t>
      </w:r>
      <w:r w:rsidRPr="00BD2431">
        <w:rPr>
          <w:color w:val="auto"/>
          <w:u w:val="single"/>
        </w:rPr>
        <w:t>)</w:t>
      </w:r>
      <w:r w:rsidR="00312864" w:rsidRPr="00BD2431">
        <w:rPr>
          <w:color w:val="auto"/>
          <w:u w:val="single"/>
        </w:rPr>
        <w:t xml:space="preserve"> </w:t>
      </w:r>
      <w:r w:rsidRPr="00BD2431">
        <w:rPr>
          <w:color w:val="auto"/>
          <w:u w:val="single"/>
        </w:rPr>
        <w:t xml:space="preserve">For tax years beginning after December 31, </w:t>
      </w:r>
      <w:r w:rsidR="00022B59" w:rsidRPr="00BD2431">
        <w:rPr>
          <w:color w:val="auto"/>
          <w:u w:val="single"/>
        </w:rPr>
        <w:t>2006,</w:t>
      </w:r>
      <w:r w:rsidRPr="00BD2431">
        <w:rPr>
          <w:color w:val="auto"/>
          <w:u w:val="single"/>
        </w:rPr>
        <w:t xml:space="preserve"> </w:t>
      </w:r>
      <w:r w:rsidR="00E96F90" w:rsidRPr="00BD2431">
        <w:rPr>
          <w:color w:val="auto"/>
          <w:u w:val="single"/>
        </w:rPr>
        <w:t xml:space="preserve">50 </w:t>
      </w:r>
      <w:r w:rsidRPr="00BD2431">
        <w:rPr>
          <w:color w:val="auto"/>
          <w:u w:val="single"/>
        </w:rPr>
        <w:t>percent of the unreduced federal credit.</w:t>
      </w:r>
    </w:p>
    <w:p w14:paraId="30EDB706" w14:textId="169A552B" w:rsidR="006521D4" w:rsidRPr="00BD2431" w:rsidRDefault="006521D4" w:rsidP="00022B59">
      <w:pPr>
        <w:pStyle w:val="SectionBody"/>
        <w:rPr>
          <w:color w:val="auto"/>
          <w:u w:val="single"/>
        </w:rPr>
      </w:pPr>
      <w:r w:rsidRPr="00BD2431">
        <w:rPr>
          <w:color w:val="auto"/>
          <w:u w:val="single"/>
        </w:rPr>
        <w:t>(</w:t>
      </w:r>
      <w:r w:rsidR="00022B59" w:rsidRPr="00BD2431">
        <w:rPr>
          <w:color w:val="auto"/>
          <w:u w:val="single"/>
        </w:rPr>
        <w:t>B</w:t>
      </w:r>
      <w:r w:rsidRPr="00BD2431">
        <w:rPr>
          <w:color w:val="auto"/>
          <w:u w:val="single"/>
        </w:rPr>
        <w:t>)</w:t>
      </w:r>
      <w:r w:rsidR="00312864" w:rsidRPr="00BD2431">
        <w:rPr>
          <w:color w:val="auto"/>
          <w:u w:val="single"/>
        </w:rPr>
        <w:t xml:space="preserve"> </w:t>
      </w:r>
      <w:r w:rsidRPr="00BD2431">
        <w:rPr>
          <w:color w:val="auto"/>
          <w:u w:val="single"/>
        </w:rPr>
        <w:t xml:space="preserve">For the individuals provided for by </w:t>
      </w:r>
      <w:r w:rsidR="00022B59" w:rsidRPr="00BD2431">
        <w:rPr>
          <w:color w:val="auto"/>
          <w:u w:val="single"/>
        </w:rPr>
        <w:t>§</w:t>
      </w:r>
      <w:r w:rsidR="00A01354" w:rsidRPr="00BD2431">
        <w:rPr>
          <w:color w:val="auto"/>
          <w:u w:val="single"/>
        </w:rPr>
        <w:t>11-29</w:t>
      </w:r>
      <w:r w:rsidR="00022B59" w:rsidRPr="00BD2431">
        <w:rPr>
          <w:color w:val="auto"/>
          <w:u w:val="single"/>
        </w:rPr>
        <w:t>-1 of this code</w:t>
      </w:r>
      <w:r w:rsidRPr="00BD2431">
        <w:rPr>
          <w:color w:val="auto"/>
          <w:u w:val="single"/>
        </w:rPr>
        <w:t xml:space="preserve">, the </w:t>
      </w:r>
      <w:r w:rsidR="00022B59" w:rsidRPr="00BD2431">
        <w:rPr>
          <w:color w:val="auto"/>
          <w:u w:val="single"/>
        </w:rPr>
        <w:t>West Virginia</w:t>
      </w:r>
      <w:r w:rsidRPr="00BD2431">
        <w:rPr>
          <w:color w:val="auto"/>
          <w:u w:val="single"/>
        </w:rPr>
        <w:t xml:space="preserve"> credit shall be allowed without regard to whether they claimed such federal credit.</w:t>
      </w:r>
    </w:p>
    <w:p w14:paraId="2A932777" w14:textId="641933DD" w:rsidR="006521D4" w:rsidRPr="00BD2431" w:rsidRDefault="006521D4" w:rsidP="00022B59">
      <w:pPr>
        <w:pStyle w:val="SectionBody"/>
        <w:rPr>
          <w:color w:val="auto"/>
          <w:u w:val="single"/>
        </w:rPr>
      </w:pPr>
      <w:r w:rsidRPr="00BD2431">
        <w:rPr>
          <w:color w:val="auto"/>
          <w:u w:val="single"/>
        </w:rPr>
        <w:t>(2)</w:t>
      </w:r>
      <w:r w:rsidR="00312864" w:rsidRPr="00BD2431">
        <w:rPr>
          <w:color w:val="auto"/>
          <w:u w:val="single"/>
        </w:rPr>
        <w:t xml:space="preserve"> </w:t>
      </w:r>
      <w:r w:rsidRPr="00BD2431">
        <w:rPr>
          <w:color w:val="auto"/>
          <w:u w:val="single"/>
        </w:rPr>
        <w:t xml:space="preserve">If the resident individual’s federal adjusted gross income is greater than </w:t>
      </w:r>
      <w:r w:rsidR="00D60DAD" w:rsidRPr="00BD2431">
        <w:rPr>
          <w:color w:val="auto"/>
          <w:u w:val="single"/>
        </w:rPr>
        <w:t xml:space="preserve">$25,000 </w:t>
      </w:r>
      <w:r w:rsidRPr="00BD2431">
        <w:rPr>
          <w:color w:val="auto"/>
          <w:u w:val="single"/>
        </w:rPr>
        <w:t xml:space="preserve">and less than or equal to </w:t>
      </w:r>
      <w:r w:rsidR="00D60DAD" w:rsidRPr="00BD2431">
        <w:rPr>
          <w:color w:val="auto"/>
          <w:u w:val="single"/>
        </w:rPr>
        <w:t>$35,000</w:t>
      </w:r>
      <w:r w:rsidRPr="00BD2431">
        <w:rPr>
          <w:color w:val="auto"/>
          <w:u w:val="single"/>
        </w:rPr>
        <w:t xml:space="preserve">, the credit shall be equal to </w:t>
      </w:r>
      <w:r w:rsidR="00E96F90" w:rsidRPr="00BD2431">
        <w:rPr>
          <w:color w:val="auto"/>
          <w:u w:val="single"/>
        </w:rPr>
        <w:t xml:space="preserve">30 </w:t>
      </w:r>
      <w:r w:rsidRPr="00BD2431">
        <w:rPr>
          <w:color w:val="auto"/>
          <w:u w:val="single"/>
        </w:rPr>
        <w:t xml:space="preserve">percent of the federal credit for </w:t>
      </w:r>
      <w:r w:rsidR="00022B59" w:rsidRPr="00BD2431">
        <w:rPr>
          <w:color w:val="auto"/>
          <w:u w:val="single"/>
        </w:rPr>
        <w:t>childcare</w:t>
      </w:r>
      <w:r w:rsidRPr="00BD2431">
        <w:rPr>
          <w:color w:val="auto"/>
          <w:u w:val="single"/>
        </w:rPr>
        <w:t xml:space="preserve"> expenses claimed on the resident individual’s federal tax return.</w:t>
      </w:r>
    </w:p>
    <w:p w14:paraId="6A5DC23D" w14:textId="0ECC6EDF" w:rsidR="006521D4" w:rsidRPr="00BD2431" w:rsidRDefault="006521D4" w:rsidP="00022B59">
      <w:pPr>
        <w:pStyle w:val="SectionBody"/>
        <w:rPr>
          <w:color w:val="auto"/>
          <w:u w:val="single"/>
        </w:rPr>
      </w:pPr>
      <w:r w:rsidRPr="00BD2431">
        <w:rPr>
          <w:color w:val="auto"/>
          <w:u w:val="single"/>
        </w:rPr>
        <w:t>(3)</w:t>
      </w:r>
      <w:r w:rsidR="00312864" w:rsidRPr="00BD2431">
        <w:rPr>
          <w:color w:val="auto"/>
          <w:u w:val="single"/>
        </w:rPr>
        <w:t xml:space="preserve"> </w:t>
      </w:r>
      <w:r w:rsidRPr="00BD2431">
        <w:rPr>
          <w:color w:val="auto"/>
          <w:u w:val="single"/>
        </w:rPr>
        <w:t>If the resident individual’s federal adjusted gross income is greater than t</w:t>
      </w:r>
      <w:r w:rsidR="00E96F90" w:rsidRPr="00BD2431">
        <w:rPr>
          <w:color w:val="auto"/>
          <w:u w:val="single"/>
        </w:rPr>
        <w:t>$35,000</w:t>
      </w:r>
      <w:r w:rsidRPr="00BD2431">
        <w:rPr>
          <w:color w:val="auto"/>
          <w:u w:val="single"/>
        </w:rPr>
        <w:t xml:space="preserve"> and less than or equal to</w:t>
      </w:r>
      <w:r w:rsidR="00D60DAD" w:rsidRPr="00BD2431">
        <w:rPr>
          <w:color w:val="auto"/>
          <w:u w:val="single"/>
        </w:rPr>
        <w:t xml:space="preserve"> $60,000</w:t>
      </w:r>
      <w:r w:rsidRPr="00BD2431">
        <w:rPr>
          <w:color w:val="auto"/>
          <w:u w:val="single"/>
        </w:rPr>
        <w:t xml:space="preserve">, the credit shall be equal to </w:t>
      </w:r>
      <w:r w:rsidR="00E96F90" w:rsidRPr="00BD2431">
        <w:rPr>
          <w:color w:val="auto"/>
          <w:u w:val="single"/>
        </w:rPr>
        <w:t xml:space="preserve">10 </w:t>
      </w:r>
      <w:r w:rsidRPr="00BD2431">
        <w:rPr>
          <w:color w:val="auto"/>
          <w:u w:val="single"/>
        </w:rPr>
        <w:t xml:space="preserve">percent of the federal credit for </w:t>
      </w:r>
      <w:r w:rsidR="00022B59" w:rsidRPr="00BD2431">
        <w:rPr>
          <w:color w:val="auto"/>
          <w:u w:val="single"/>
        </w:rPr>
        <w:t>childcare</w:t>
      </w:r>
      <w:r w:rsidRPr="00BD2431">
        <w:rPr>
          <w:color w:val="auto"/>
          <w:u w:val="single"/>
        </w:rPr>
        <w:t xml:space="preserve"> expenses claimed on the resident individual’s federal tax return.</w:t>
      </w:r>
    </w:p>
    <w:p w14:paraId="29F19F57" w14:textId="14125738" w:rsidR="006521D4" w:rsidRPr="00BD2431" w:rsidRDefault="006521D4" w:rsidP="00022B59">
      <w:pPr>
        <w:pStyle w:val="SectionBody"/>
        <w:rPr>
          <w:color w:val="auto"/>
          <w:u w:val="single"/>
        </w:rPr>
      </w:pPr>
      <w:r w:rsidRPr="00BD2431">
        <w:rPr>
          <w:color w:val="auto"/>
          <w:u w:val="single"/>
        </w:rPr>
        <w:t>(4)</w:t>
      </w:r>
      <w:r w:rsidR="00312864" w:rsidRPr="00BD2431">
        <w:rPr>
          <w:color w:val="auto"/>
          <w:u w:val="single"/>
        </w:rPr>
        <w:t xml:space="preserve"> </w:t>
      </w:r>
      <w:r w:rsidRPr="00BD2431">
        <w:rPr>
          <w:color w:val="auto"/>
          <w:u w:val="single"/>
        </w:rPr>
        <w:t xml:space="preserve">If the resident individual’s federal adjusted gross income is greater than </w:t>
      </w:r>
      <w:r w:rsidR="00D60DAD" w:rsidRPr="00BD2431">
        <w:rPr>
          <w:color w:val="auto"/>
          <w:u w:val="single"/>
        </w:rPr>
        <w:t>$60,000</w:t>
      </w:r>
      <w:r w:rsidRPr="00BD2431">
        <w:rPr>
          <w:color w:val="auto"/>
          <w:u w:val="single"/>
        </w:rPr>
        <w:t xml:space="preserve">, the credit shall be equal to the lesser of </w:t>
      </w:r>
      <w:r w:rsidR="00D60DAD" w:rsidRPr="00BD2431">
        <w:rPr>
          <w:color w:val="auto"/>
          <w:u w:val="single"/>
        </w:rPr>
        <w:t xml:space="preserve">$25 </w:t>
      </w:r>
      <w:r w:rsidRPr="00BD2431">
        <w:rPr>
          <w:color w:val="auto"/>
          <w:u w:val="single"/>
        </w:rPr>
        <w:t xml:space="preserve">or </w:t>
      </w:r>
      <w:r w:rsidR="00E96F90" w:rsidRPr="00BD2431">
        <w:rPr>
          <w:color w:val="auto"/>
          <w:u w:val="single"/>
        </w:rPr>
        <w:t xml:space="preserve">10 </w:t>
      </w:r>
      <w:r w:rsidRPr="00BD2431">
        <w:rPr>
          <w:color w:val="auto"/>
          <w:u w:val="single"/>
        </w:rPr>
        <w:t xml:space="preserve">percent of the federal credit for </w:t>
      </w:r>
      <w:r w:rsidR="00022B59" w:rsidRPr="00BD2431">
        <w:rPr>
          <w:color w:val="auto"/>
          <w:u w:val="single"/>
        </w:rPr>
        <w:t>childcare</w:t>
      </w:r>
      <w:r w:rsidRPr="00BD2431">
        <w:rPr>
          <w:color w:val="auto"/>
          <w:u w:val="single"/>
        </w:rPr>
        <w:t xml:space="preserve"> expenses claimed on the resident individual’s federal tax return.</w:t>
      </w:r>
    </w:p>
    <w:p w14:paraId="48A041ED" w14:textId="7219D1D0" w:rsidR="006521D4" w:rsidRPr="00BD2431" w:rsidRDefault="006521D4" w:rsidP="00022B59">
      <w:pPr>
        <w:pStyle w:val="SectionBody"/>
        <w:rPr>
          <w:color w:val="auto"/>
          <w:u w:val="single"/>
        </w:rPr>
      </w:pPr>
      <w:r w:rsidRPr="00BD2431">
        <w:rPr>
          <w:color w:val="auto"/>
          <w:u w:val="single"/>
        </w:rPr>
        <w:t xml:space="preserve">(b)(1) If the credit against West Virginia income tax for resident individuals whose federal adjusted gross income is equal to or less than </w:t>
      </w:r>
      <w:r w:rsidR="00D60DAD" w:rsidRPr="00BD2431">
        <w:rPr>
          <w:color w:val="auto"/>
          <w:u w:val="single"/>
        </w:rPr>
        <w:t>$25,000</w:t>
      </w:r>
      <w:r w:rsidRPr="00BD2431">
        <w:rPr>
          <w:color w:val="auto"/>
          <w:u w:val="single"/>
        </w:rPr>
        <w:t xml:space="preserve"> exceeds the amount of such individual’s tax liability for the taxable year, then such excess tax credit shall constitute an overpayment, as defined in §11-10-14, and the Tax Commissioner shall make a refund of such overpayment from the current collections of the taxes imposed under §11-10</w:t>
      </w:r>
      <w:r w:rsidR="00BD2431" w:rsidRPr="00BD2431">
        <w:rPr>
          <w:color w:val="auto"/>
          <w:u w:val="single"/>
        </w:rPr>
        <w:t xml:space="preserve">-1 </w:t>
      </w:r>
      <w:r w:rsidR="00BD2431" w:rsidRPr="00BD2431">
        <w:rPr>
          <w:i/>
          <w:iCs/>
          <w:color w:val="auto"/>
          <w:u w:val="single"/>
        </w:rPr>
        <w:t>et seq.</w:t>
      </w:r>
      <w:r w:rsidRPr="00BD2431">
        <w:rPr>
          <w:color w:val="auto"/>
          <w:u w:val="single"/>
        </w:rPr>
        <w:t xml:space="preserve"> of this code.</w:t>
      </w:r>
    </w:p>
    <w:p w14:paraId="7460FDC4" w14:textId="7219F6F2" w:rsidR="006521D4" w:rsidRPr="00BD2431" w:rsidRDefault="006521D4" w:rsidP="00022B59">
      <w:pPr>
        <w:pStyle w:val="SectionBody"/>
        <w:rPr>
          <w:color w:val="auto"/>
          <w:u w:val="single"/>
        </w:rPr>
      </w:pPr>
      <w:r w:rsidRPr="00BD2431">
        <w:rPr>
          <w:color w:val="auto"/>
          <w:u w:val="single"/>
        </w:rPr>
        <w:t>(2) If the credit against West Virginia income tax for resident individuals whose federal adjusted gross income is greater th</w:t>
      </w:r>
      <w:r w:rsidR="00AC3EB1" w:rsidRPr="00BD2431">
        <w:rPr>
          <w:color w:val="auto"/>
          <w:u w:val="single"/>
        </w:rPr>
        <w:t xml:space="preserve">an </w:t>
      </w:r>
      <w:r w:rsidR="00D60DAD" w:rsidRPr="00BD2431">
        <w:rPr>
          <w:color w:val="auto"/>
          <w:u w:val="single"/>
        </w:rPr>
        <w:t xml:space="preserve">$25,000 </w:t>
      </w:r>
      <w:r w:rsidRPr="00BD2431">
        <w:rPr>
          <w:color w:val="auto"/>
          <w:u w:val="single"/>
        </w:rPr>
        <w:t>exceeds the amount of such individual’s tax liability for the taxable period, then such excess tax credit may be carried forward as a credit against any subsequent tax liability of such individual imposed by for a period not exceeding five years.</w:t>
      </w:r>
    </w:p>
    <w:p w14:paraId="029CF52C" w14:textId="755C7F00" w:rsidR="00022B59" w:rsidRPr="00BD2431" w:rsidRDefault="00022B59" w:rsidP="00022B59">
      <w:pPr>
        <w:pStyle w:val="SectionHeading"/>
        <w:rPr>
          <w:color w:val="auto"/>
          <w:u w:val="single"/>
        </w:rPr>
      </w:pPr>
      <w:r w:rsidRPr="00BD2431">
        <w:rPr>
          <w:color w:val="auto"/>
          <w:u w:val="single"/>
        </w:rPr>
        <w:t>§</w:t>
      </w:r>
      <w:r w:rsidR="00A01354" w:rsidRPr="00BD2431">
        <w:rPr>
          <w:color w:val="auto"/>
          <w:u w:val="single"/>
        </w:rPr>
        <w:t>11-29</w:t>
      </w:r>
      <w:r w:rsidRPr="00BD2431">
        <w:rPr>
          <w:color w:val="auto"/>
          <w:u w:val="single"/>
        </w:rPr>
        <w:t>-2. Childcare expense tax credit.</w:t>
      </w:r>
    </w:p>
    <w:p w14:paraId="55F5157A" w14:textId="77777777" w:rsidR="00AC3EB1" w:rsidRPr="00BD2431" w:rsidRDefault="00AC3EB1" w:rsidP="00AC3EB1">
      <w:pPr>
        <w:pStyle w:val="SectionBody"/>
        <w:rPr>
          <w:color w:val="auto"/>
        </w:rPr>
        <w:sectPr w:rsidR="00AC3EB1" w:rsidRPr="00BD2431" w:rsidSect="00E407EB">
          <w:type w:val="continuous"/>
          <w:pgSz w:w="12240" w:h="15840" w:code="1"/>
          <w:pgMar w:top="1440" w:right="1440" w:bottom="1440" w:left="1440" w:header="720" w:footer="720" w:gutter="0"/>
          <w:lnNumType w:countBy="1" w:restart="newSection"/>
          <w:cols w:space="720"/>
          <w:docGrid w:linePitch="360"/>
        </w:sectPr>
      </w:pPr>
    </w:p>
    <w:p w14:paraId="036442DF" w14:textId="3C904EA7" w:rsidR="00022B59" w:rsidRPr="00BD2431" w:rsidRDefault="00022B59" w:rsidP="00AC3EB1">
      <w:pPr>
        <w:pStyle w:val="SectionBody"/>
        <w:rPr>
          <w:color w:val="auto"/>
          <w:u w:val="single"/>
        </w:rPr>
      </w:pPr>
      <w:r w:rsidRPr="00BD2431">
        <w:rPr>
          <w:color w:val="auto"/>
          <w:u w:val="single"/>
        </w:rPr>
        <w:t>(a) There shall be a credit against West Virginia individual income tax for childcare expenses in addition to the credit provided for such expenses in §</w:t>
      </w:r>
      <w:r w:rsidR="00A01354" w:rsidRPr="00BD2431">
        <w:rPr>
          <w:color w:val="auto"/>
          <w:u w:val="single"/>
        </w:rPr>
        <w:t>11-29</w:t>
      </w:r>
      <w:r w:rsidRPr="00BD2431">
        <w:rPr>
          <w:color w:val="auto"/>
          <w:u w:val="single"/>
        </w:rPr>
        <w:t>-1 of this code. Such credit shall be based upon the credit provided for such expenses in §</w:t>
      </w:r>
      <w:r w:rsidR="00A01354" w:rsidRPr="00BD2431">
        <w:rPr>
          <w:color w:val="auto"/>
          <w:u w:val="single"/>
        </w:rPr>
        <w:t>11-29</w:t>
      </w:r>
      <w:r w:rsidRPr="00BD2431">
        <w:rPr>
          <w:color w:val="auto"/>
          <w:u w:val="single"/>
        </w:rPr>
        <w:t>-1 of this code and shall be based upon the quality rating of the childcare facility which the child attends as follows:</w:t>
      </w:r>
    </w:p>
    <w:tbl>
      <w:tblPr>
        <w:tblW w:w="12495" w:type="dxa"/>
        <w:tblCellSpacing w:w="15" w:type="dxa"/>
        <w:tblInd w:w="-1560" w:type="dxa"/>
        <w:shd w:val="clear" w:color="auto" w:fill="FFFFFF"/>
        <w:tblCellMar>
          <w:top w:w="120" w:type="dxa"/>
          <w:left w:w="0" w:type="dxa"/>
          <w:right w:w="0" w:type="dxa"/>
        </w:tblCellMar>
        <w:tblLook w:val="04A0" w:firstRow="1" w:lastRow="0" w:firstColumn="1" w:lastColumn="0" w:noHBand="0" w:noVBand="1"/>
      </w:tblPr>
      <w:tblGrid>
        <w:gridCol w:w="7081"/>
        <w:gridCol w:w="5414"/>
      </w:tblGrid>
      <w:tr w:rsidR="00BD2431" w:rsidRPr="00BD2431" w14:paraId="5613C3F6" w14:textId="77777777" w:rsidTr="00296688">
        <w:trPr>
          <w:tblHeader/>
          <w:tblCellSpacing w:w="15" w:type="dxa"/>
        </w:trPr>
        <w:tc>
          <w:tcPr>
            <w:tcW w:w="0" w:type="auto"/>
            <w:tcBorders>
              <w:top w:val="nil"/>
              <w:left w:val="nil"/>
              <w:bottom w:val="nil"/>
              <w:right w:val="nil"/>
            </w:tcBorders>
            <w:shd w:val="clear" w:color="auto" w:fill="FFFFFF"/>
            <w:tcMar>
              <w:top w:w="120" w:type="dxa"/>
              <w:left w:w="75" w:type="dxa"/>
              <w:bottom w:w="165" w:type="dxa"/>
              <w:right w:w="75" w:type="dxa"/>
            </w:tcMar>
            <w:vAlign w:val="bottom"/>
            <w:hideMark/>
          </w:tcPr>
          <w:p w14:paraId="0D728334" w14:textId="2C3E4183" w:rsidR="00296688" w:rsidRPr="00BD2431" w:rsidRDefault="00296688" w:rsidP="00AA21A7">
            <w:pPr>
              <w:pStyle w:val="SectionBody"/>
              <w:ind w:left="750"/>
              <w:rPr>
                <w:color w:val="auto"/>
                <w:u w:val="single"/>
              </w:rPr>
            </w:pPr>
            <w:r w:rsidRPr="00BD2431">
              <w:rPr>
                <w:color w:val="auto"/>
                <w:u w:val="single"/>
              </w:rPr>
              <w:t xml:space="preserve"> Accreditation Rating of Child Care Facility</w:t>
            </w:r>
          </w:p>
        </w:tc>
        <w:tc>
          <w:tcPr>
            <w:tcW w:w="0" w:type="auto"/>
            <w:tcBorders>
              <w:top w:val="nil"/>
              <w:left w:val="nil"/>
              <w:bottom w:val="nil"/>
              <w:right w:val="nil"/>
            </w:tcBorders>
            <w:shd w:val="clear" w:color="auto" w:fill="FFFFFF"/>
            <w:tcMar>
              <w:top w:w="120" w:type="dxa"/>
              <w:left w:w="75" w:type="dxa"/>
              <w:bottom w:w="165" w:type="dxa"/>
              <w:right w:w="75" w:type="dxa"/>
            </w:tcMar>
            <w:vAlign w:val="bottom"/>
            <w:hideMark/>
          </w:tcPr>
          <w:p w14:paraId="7D202AB8" w14:textId="364570E4" w:rsidR="00296688" w:rsidRPr="00BD2431" w:rsidRDefault="00296688" w:rsidP="00AC3EB1">
            <w:pPr>
              <w:pStyle w:val="SectionBody"/>
              <w:rPr>
                <w:color w:val="auto"/>
                <w:u w:val="single"/>
              </w:rPr>
            </w:pPr>
            <w:r w:rsidRPr="00BD2431">
              <w:rPr>
                <w:color w:val="auto"/>
                <w:u w:val="single"/>
              </w:rPr>
              <w:t>Percentage of the credit in §</w:t>
            </w:r>
            <w:r w:rsidR="00A01354" w:rsidRPr="00BD2431">
              <w:rPr>
                <w:color w:val="auto"/>
                <w:u w:val="single"/>
              </w:rPr>
              <w:t>11-29</w:t>
            </w:r>
            <w:r w:rsidRPr="00BD2431">
              <w:rPr>
                <w:color w:val="auto"/>
                <w:u w:val="single"/>
              </w:rPr>
              <w:t>-1</w:t>
            </w:r>
          </w:p>
        </w:tc>
      </w:tr>
      <w:tr w:rsidR="00BD2431" w:rsidRPr="00BD2431" w14:paraId="1A03B61C" w14:textId="77777777" w:rsidTr="00296688">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vAlign w:val="bottom"/>
            <w:hideMark/>
          </w:tcPr>
          <w:p w14:paraId="44C99191" w14:textId="3621A867" w:rsidR="00296688" w:rsidRPr="00BD2431" w:rsidRDefault="00296688" w:rsidP="00AA21A7">
            <w:pPr>
              <w:pStyle w:val="SectionBody"/>
              <w:ind w:left="750"/>
              <w:rPr>
                <w:color w:val="auto"/>
                <w:u w:val="single"/>
              </w:rPr>
            </w:pPr>
            <w:r w:rsidRPr="00BD2431">
              <w:rPr>
                <w:color w:val="auto"/>
                <w:u w:val="single"/>
              </w:rPr>
              <w:t xml:space="preserve"> Tier III</w:t>
            </w:r>
          </w:p>
        </w:tc>
        <w:tc>
          <w:tcPr>
            <w:tcW w:w="0" w:type="auto"/>
            <w:tcBorders>
              <w:top w:val="nil"/>
              <w:left w:val="nil"/>
              <w:bottom w:val="nil"/>
              <w:right w:val="nil"/>
            </w:tcBorders>
            <w:shd w:val="clear" w:color="auto" w:fill="FFFFFF"/>
            <w:tcMar>
              <w:top w:w="150" w:type="dxa"/>
              <w:left w:w="150" w:type="dxa"/>
              <w:bottom w:w="150" w:type="dxa"/>
              <w:right w:w="150" w:type="dxa"/>
            </w:tcMar>
            <w:vAlign w:val="bottom"/>
            <w:hideMark/>
          </w:tcPr>
          <w:p w14:paraId="03E241D2" w14:textId="77777777" w:rsidR="00296688" w:rsidRPr="00BD2431" w:rsidRDefault="00296688" w:rsidP="00AC3EB1">
            <w:pPr>
              <w:pStyle w:val="SectionBody"/>
              <w:rPr>
                <w:color w:val="auto"/>
                <w:u w:val="single"/>
              </w:rPr>
            </w:pPr>
            <w:r w:rsidRPr="00BD2431">
              <w:rPr>
                <w:color w:val="auto"/>
                <w:u w:val="single"/>
              </w:rPr>
              <w:t>200%</w:t>
            </w:r>
          </w:p>
        </w:tc>
      </w:tr>
      <w:tr w:rsidR="00BD2431" w:rsidRPr="00BD2431" w14:paraId="416B44F1" w14:textId="77777777" w:rsidTr="00296688">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vAlign w:val="bottom"/>
            <w:hideMark/>
          </w:tcPr>
          <w:p w14:paraId="1B6E1914" w14:textId="28615F6B" w:rsidR="00296688" w:rsidRPr="00BD2431" w:rsidRDefault="00296688" w:rsidP="00AA21A7">
            <w:pPr>
              <w:pStyle w:val="SectionBody"/>
              <w:ind w:left="750"/>
              <w:rPr>
                <w:color w:val="auto"/>
                <w:u w:val="single"/>
              </w:rPr>
            </w:pPr>
            <w:r w:rsidRPr="00BD2431">
              <w:rPr>
                <w:color w:val="auto"/>
                <w:u w:val="single"/>
              </w:rPr>
              <w:t xml:space="preserve"> Tier II</w:t>
            </w:r>
          </w:p>
        </w:tc>
        <w:tc>
          <w:tcPr>
            <w:tcW w:w="0" w:type="auto"/>
            <w:tcBorders>
              <w:top w:val="nil"/>
              <w:left w:val="nil"/>
              <w:bottom w:val="nil"/>
              <w:right w:val="nil"/>
            </w:tcBorders>
            <w:shd w:val="clear" w:color="auto" w:fill="FFFFFF"/>
            <w:tcMar>
              <w:top w:w="150" w:type="dxa"/>
              <w:left w:w="150" w:type="dxa"/>
              <w:bottom w:w="150" w:type="dxa"/>
              <w:right w:w="150" w:type="dxa"/>
            </w:tcMar>
            <w:vAlign w:val="bottom"/>
            <w:hideMark/>
          </w:tcPr>
          <w:p w14:paraId="69C4E3FD" w14:textId="77777777" w:rsidR="00296688" w:rsidRPr="00BD2431" w:rsidRDefault="00296688" w:rsidP="00AC3EB1">
            <w:pPr>
              <w:pStyle w:val="SectionBody"/>
              <w:rPr>
                <w:color w:val="auto"/>
                <w:u w:val="single"/>
              </w:rPr>
            </w:pPr>
            <w:r w:rsidRPr="00BD2431">
              <w:rPr>
                <w:color w:val="auto"/>
                <w:u w:val="single"/>
              </w:rPr>
              <w:t>150%</w:t>
            </w:r>
          </w:p>
        </w:tc>
      </w:tr>
      <w:tr w:rsidR="00BD2431" w:rsidRPr="00BD2431" w14:paraId="0FF5FCEE" w14:textId="77777777" w:rsidTr="00296688">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vAlign w:val="bottom"/>
            <w:hideMark/>
          </w:tcPr>
          <w:p w14:paraId="4B4097D5" w14:textId="212D7C63" w:rsidR="00296688" w:rsidRPr="00BD2431" w:rsidRDefault="00296688" w:rsidP="00AA21A7">
            <w:pPr>
              <w:pStyle w:val="SectionBody"/>
              <w:ind w:left="750"/>
              <w:rPr>
                <w:color w:val="auto"/>
                <w:u w:val="single"/>
              </w:rPr>
            </w:pPr>
            <w:r w:rsidRPr="00BD2431">
              <w:rPr>
                <w:color w:val="auto"/>
                <w:u w:val="single"/>
              </w:rPr>
              <w:t xml:space="preserve"> Tier I</w:t>
            </w:r>
          </w:p>
        </w:tc>
        <w:tc>
          <w:tcPr>
            <w:tcW w:w="0" w:type="auto"/>
            <w:tcBorders>
              <w:top w:val="nil"/>
              <w:left w:val="nil"/>
              <w:bottom w:val="nil"/>
              <w:right w:val="nil"/>
            </w:tcBorders>
            <w:shd w:val="clear" w:color="auto" w:fill="FFFFFF"/>
            <w:tcMar>
              <w:top w:w="150" w:type="dxa"/>
              <w:left w:w="150" w:type="dxa"/>
              <w:bottom w:w="150" w:type="dxa"/>
              <w:right w:w="150" w:type="dxa"/>
            </w:tcMar>
            <w:vAlign w:val="bottom"/>
            <w:hideMark/>
          </w:tcPr>
          <w:p w14:paraId="080DAEC2" w14:textId="77777777" w:rsidR="00296688" w:rsidRPr="00BD2431" w:rsidRDefault="00296688" w:rsidP="00AC3EB1">
            <w:pPr>
              <w:pStyle w:val="SectionBody"/>
              <w:rPr>
                <w:color w:val="auto"/>
                <w:u w:val="single"/>
              </w:rPr>
            </w:pPr>
            <w:r w:rsidRPr="00BD2431">
              <w:rPr>
                <w:color w:val="auto"/>
                <w:u w:val="single"/>
              </w:rPr>
              <w:t>100%</w:t>
            </w:r>
          </w:p>
        </w:tc>
      </w:tr>
    </w:tbl>
    <w:p w14:paraId="0F3F1D1F" w14:textId="13996DEC" w:rsidR="00022B59" w:rsidRPr="00BD2431" w:rsidRDefault="00AC3EB1" w:rsidP="00AC3EB1">
      <w:pPr>
        <w:pStyle w:val="SectionBody"/>
        <w:rPr>
          <w:color w:val="auto"/>
          <w:u w:val="single"/>
        </w:rPr>
      </w:pPr>
      <w:r w:rsidRPr="00BD2431">
        <w:rPr>
          <w:color w:val="auto"/>
          <w:u w:val="single"/>
        </w:rPr>
        <w:t xml:space="preserve">(b) </w:t>
      </w:r>
      <w:r w:rsidR="00022B59" w:rsidRPr="00BD2431">
        <w:rPr>
          <w:color w:val="auto"/>
          <w:u w:val="single"/>
        </w:rPr>
        <w:t xml:space="preserve">Parents with multiple children shall calculate the credit of each child separately. </w:t>
      </w:r>
      <w:r w:rsidRPr="00BD2431">
        <w:rPr>
          <w:color w:val="auto"/>
          <w:u w:val="single"/>
        </w:rPr>
        <w:t>If</w:t>
      </w:r>
      <w:r w:rsidR="00022B59" w:rsidRPr="00BD2431">
        <w:rPr>
          <w:color w:val="auto"/>
          <w:u w:val="single"/>
        </w:rPr>
        <w:t xml:space="preserve"> a single child receives services in more than one childcare facility in a single year, the facility with the highest quality rating shall be used to calculate the credit.</w:t>
      </w:r>
    </w:p>
    <w:p w14:paraId="31C7BFBA" w14:textId="5B6E8763" w:rsidR="00022B59" w:rsidRPr="00BD2431" w:rsidRDefault="00AC3EB1" w:rsidP="00AC3EB1">
      <w:pPr>
        <w:pStyle w:val="SectionBody"/>
        <w:rPr>
          <w:color w:val="auto"/>
          <w:u w:val="single"/>
        </w:rPr>
      </w:pPr>
      <w:r w:rsidRPr="00BD2431">
        <w:rPr>
          <w:color w:val="auto"/>
          <w:u w:val="single"/>
        </w:rPr>
        <w:t>(c)</w:t>
      </w:r>
      <w:r w:rsidR="00022B59" w:rsidRPr="00BD2431">
        <w:rPr>
          <w:color w:val="auto"/>
          <w:u w:val="single"/>
        </w:rPr>
        <w:t xml:space="preserve"> The credit shall be refundable or shall be carried forward as provided for in </w:t>
      </w:r>
      <w:r w:rsidRPr="00BD2431">
        <w:rPr>
          <w:color w:val="auto"/>
          <w:u w:val="single"/>
        </w:rPr>
        <w:t>§</w:t>
      </w:r>
      <w:r w:rsidR="00A01354" w:rsidRPr="00BD2431">
        <w:rPr>
          <w:color w:val="auto"/>
          <w:u w:val="single"/>
        </w:rPr>
        <w:t>11-29</w:t>
      </w:r>
      <w:r w:rsidRPr="00BD2431">
        <w:rPr>
          <w:color w:val="auto"/>
          <w:u w:val="single"/>
        </w:rPr>
        <w:t>-1</w:t>
      </w:r>
      <w:r w:rsidR="00BD2431" w:rsidRPr="00BD2431">
        <w:rPr>
          <w:color w:val="auto"/>
          <w:u w:val="single"/>
        </w:rPr>
        <w:t xml:space="preserve"> of this code</w:t>
      </w:r>
      <w:r w:rsidRPr="00BD2431">
        <w:rPr>
          <w:color w:val="auto"/>
          <w:u w:val="single"/>
        </w:rPr>
        <w:t>.</w:t>
      </w:r>
    </w:p>
    <w:p w14:paraId="6CDE6A31" w14:textId="77777777" w:rsidR="006521D4" w:rsidRPr="00BD2431" w:rsidRDefault="006521D4" w:rsidP="006521D4">
      <w:pPr>
        <w:pStyle w:val="SectionHeading"/>
        <w:rPr>
          <w:color w:val="auto"/>
        </w:rPr>
      </w:pPr>
    </w:p>
    <w:p w14:paraId="428792B5" w14:textId="4AC754C1" w:rsidR="006865E9" w:rsidRPr="00BD2431" w:rsidRDefault="00CF1DCA" w:rsidP="00CC1F3B">
      <w:pPr>
        <w:pStyle w:val="Note"/>
        <w:rPr>
          <w:color w:val="auto"/>
        </w:rPr>
      </w:pPr>
      <w:r w:rsidRPr="00BD2431">
        <w:rPr>
          <w:color w:val="auto"/>
        </w:rPr>
        <w:t>NOTE: The</w:t>
      </w:r>
      <w:r w:rsidR="006865E9" w:rsidRPr="00BD2431">
        <w:rPr>
          <w:color w:val="auto"/>
        </w:rPr>
        <w:t xml:space="preserve"> purpose of this bill is to </w:t>
      </w:r>
      <w:r w:rsidR="00AC3EB1" w:rsidRPr="00BD2431">
        <w:rPr>
          <w:color w:val="auto"/>
        </w:rPr>
        <w:t>set the standards for and provide for a childcare tax credit.</w:t>
      </w:r>
    </w:p>
    <w:p w14:paraId="6613F2A8" w14:textId="77777777" w:rsidR="006865E9" w:rsidRPr="00BD2431" w:rsidRDefault="00AE48A0" w:rsidP="00CC1F3B">
      <w:pPr>
        <w:pStyle w:val="Note"/>
        <w:rPr>
          <w:color w:val="auto"/>
        </w:rPr>
      </w:pPr>
      <w:r w:rsidRPr="00BD2431">
        <w:rPr>
          <w:color w:val="auto"/>
        </w:rPr>
        <w:t>Strike-throughs indicate language that would be stricken from a heading or the present law and underscoring indicates new language that would be added.</w:t>
      </w:r>
    </w:p>
    <w:sectPr w:rsidR="006865E9" w:rsidRPr="00BD2431" w:rsidSect="00E407E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FD7DE" w14:textId="77777777" w:rsidR="008A6A6E" w:rsidRPr="00B844FE" w:rsidRDefault="008A6A6E" w:rsidP="00B844FE">
      <w:r>
        <w:separator/>
      </w:r>
    </w:p>
  </w:endnote>
  <w:endnote w:type="continuationSeparator" w:id="0">
    <w:p w14:paraId="46D9B841" w14:textId="77777777" w:rsidR="008A6A6E" w:rsidRPr="00B844FE" w:rsidRDefault="008A6A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FEEC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D22A3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7D27DB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10D1F" w14:textId="77777777" w:rsidR="008A6A6E" w:rsidRPr="00B844FE" w:rsidRDefault="008A6A6E" w:rsidP="00B844FE">
      <w:r>
        <w:separator/>
      </w:r>
    </w:p>
  </w:footnote>
  <w:footnote w:type="continuationSeparator" w:id="0">
    <w:p w14:paraId="24493FBF" w14:textId="77777777" w:rsidR="008A6A6E" w:rsidRPr="00B844FE" w:rsidRDefault="008A6A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D273" w14:textId="77777777" w:rsidR="002A0269" w:rsidRPr="00B844FE" w:rsidRDefault="002B1A29">
    <w:pPr>
      <w:pStyle w:val="Header"/>
    </w:pPr>
    <w:sdt>
      <w:sdtPr>
        <w:id w:val="-684364211"/>
        <w:placeholder>
          <w:docPart w:val="126915A3801F41DB8CD2C6BAA864047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6915A3801F41DB8CD2C6BAA864047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D6B2" w14:textId="5D13309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C3EB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C3EB1">
          <w:rPr>
            <w:sz w:val="22"/>
            <w:szCs w:val="22"/>
          </w:rPr>
          <w:t>2023R3420</w:t>
        </w:r>
      </w:sdtContent>
    </w:sdt>
  </w:p>
  <w:p w14:paraId="135C211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1A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44310355">
    <w:abstractNumId w:val="0"/>
  </w:num>
  <w:num w:numId="2" w16cid:durableId="1985351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6E"/>
    <w:rsid w:val="0000526A"/>
    <w:rsid w:val="00022B59"/>
    <w:rsid w:val="000573A9"/>
    <w:rsid w:val="00085D22"/>
    <w:rsid w:val="00093AB0"/>
    <w:rsid w:val="000C5C77"/>
    <w:rsid w:val="000E3912"/>
    <w:rsid w:val="0010070F"/>
    <w:rsid w:val="0015112E"/>
    <w:rsid w:val="001552E7"/>
    <w:rsid w:val="001566B4"/>
    <w:rsid w:val="00162BBB"/>
    <w:rsid w:val="001A66B7"/>
    <w:rsid w:val="001C279E"/>
    <w:rsid w:val="001D459E"/>
    <w:rsid w:val="0022348D"/>
    <w:rsid w:val="0027011C"/>
    <w:rsid w:val="00274200"/>
    <w:rsid w:val="00275740"/>
    <w:rsid w:val="0027580D"/>
    <w:rsid w:val="00296688"/>
    <w:rsid w:val="002A0269"/>
    <w:rsid w:val="002B1A29"/>
    <w:rsid w:val="002B2CDC"/>
    <w:rsid w:val="00303684"/>
    <w:rsid w:val="00312864"/>
    <w:rsid w:val="003143F5"/>
    <w:rsid w:val="00314854"/>
    <w:rsid w:val="00355ADE"/>
    <w:rsid w:val="00394191"/>
    <w:rsid w:val="003C51CD"/>
    <w:rsid w:val="003C6034"/>
    <w:rsid w:val="00400B5C"/>
    <w:rsid w:val="00427ABC"/>
    <w:rsid w:val="004368E0"/>
    <w:rsid w:val="0048544B"/>
    <w:rsid w:val="004C13DD"/>
    <w:rsid w:val="004D3ABE"/>
    <w:rsid w:val="004E3441"/>
    <w:rsid w:val="00500579"/>
    <w:rsid w:val="00560BE2"/>
    <w:rsid w:val="005A5366"/>
    <w:rsid w:val="00607B40"/>
    <w:rsid w:val="006369EB"/>
    <w:rsid w:val="00637E73"/>
    <w:rsid w:val="006521D4"/>
    <w:rsid w:val="006865E9"/>
    <w:rsid w:val="00686E9A"/>
    <w:rsid w:val="00691F3E"/>
    <w:rsid w:val="00694BFB"/>
    <w:rsid w:val="006A106B"/>
    <w:rsid w:val="006B6C0A"/>
    <w:rsid w:val="006C523D"/>
    <w:rsid w:val="006D4036"/>
    <w:rsid w:val="00717C83"/>
    <w:rsid w:val="007A5259"/>
    <w:rsid w:val="007A7081"/>
    <w:rsid w:val="007F1CF5"/>
    <w:rsid w:val="00834EDE"/>
    <w:rsid w:val="008736AA"/>
    <w:rsid w:val="008A6A6E"/>
    <w:rsid w:val="008B3BE5"/>
    <w:rsid w:val="008B4A0C"/>
    <w:rsid w:val="008D275D"/>
    <w:rsid w:val="008F6F1F"/>
    <w:rsid w:val="00980327"/>
    <w:rsid w:val="00986478"/>
    <w:rsid w:val="009B5557"/>
    <w:rsid w:val="009E3799"/>
    <w:rsid w:val="009F1067"/>
    <w:rsid w:val="00A01354"/>
    <w:rsid w:val="00A31E01"/>
    <w:rsid w:val="00A527AD"/>
    <w:rsid w:val="00A718CF"/>
    <w:rsid w:val="00AA21A7"/>
    <w:rsid w:val="00AC3EB1"/>
    <w:rsid w:val="00AE48A0"/>
    <w:rsid w:val="00AE61BE"/>
    <w:rsid w:val="00B16F25"/>
    <w:rsid w:val="00B24422"/>
    <w:rsid w:val="00B66B81"/>
    <w:rsid w:val="00B71E6F"/>
    <w:rsid w:val="00B80C20"/>
    <w:rsid w:val="00B844FE"/>
    <w:rsid w:val="00B86B4F"/>
    <w:rsid w:val="00BA1F84"/>
    <w:rsid w:val="00BC562B"/>
    <w:rsid w:val="00BD2431"/>
    <w:rsid w:val="00C156FC"/>
    <w:rsid w:val="00C33014"/>
    <w:rsid w:val="00C33434"/>
    <w:rsid w:val="00C34869"/>
    <w:rsid w:val="00C42EB6"/>
    <w:rsid w:val="00C85096"/>
    <w:rsid w:val="00CB20EF"/>
    <w:rsid w:val="00CC1F3B"/>
    <w:rsid w:val="00CD12CB"/>
    <w:rsid w:val="00CD36CF"/>
    <w:rsid w:val="00CF1DCA"/>
    <w:rsid w:val="00D579FC"/>
    <w:rsid w:val="00D60DAD"/>
    <w:rsid w:val="00D81C16"/>
    <w:rsid w:val="00DE526B"/>
    <w:rsid w:val="00DF199D"/>
    <w:rsid w:val="00E01542"/>
    <w:rsid w:val="00E365F1"/>
    <w:rsid w:val="00E407EB"/>
    <w:rsid w:val="00E62F48"/>
    <w:rsid w:val="00E831B3"/>
    <w:rsid w:val="00E95FBC"/>
    <w:rsid w:val="00E96F90"/>
    <w:rsid w:val="00EC5E63"/>
    <w:rsid w:val="00EE70CB"/>
    <w:rsid w:val="00F41CA2"/>
    <w:rsid w:val="00F443C0"/>
    <w:rsid w:val="00F62EFB"/>
    <w:rsid w:val="00F6480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8AC14"/>
  <w15:chartTrackingRefBased/>
  <w15:docId w15:val="{0F14A28D-C067-45BF-B1FF-4EE90B41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6521D4"/>
    <w:rPr>
      <w:color w:val="0563C1" w:themeColor="hyperlink"/>
      <w:u w:val="single"/>
    </w:rPr>
  </w:style>
  <w:style w:type="character" w:styleId="UnresolvedMention">
    <w:name w:val="Unresolved Mention"/>
    <w:basedOn w:val="DefaultParagraphFont"/>
    <w:uiPriority w:val="99"/>
    <w:semiHidden/>
    <w:unhideWhenUsed/>
    <w:rsid w:val="00652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2188">
      <w:bodyDiv w:val="1"/>
      <w:marLeft w:val="0"/>
      <w:marRight w:val="0"/>
      <w:marTop w:val="0"/>
      <w:marBottom w:val="0"/>
      <w:divBdr>
        <w:top w:val="none" w:sz="0" w:space="0" w:color="auto"/>
        <w:left w:val="none" w:sz="0" w:space="0" w:color="auto"/>
        <w:bottom w:val="none" w:sz="0" w:space="0" w:color="auto"/>
        <w:right w:val="none" w:sz="0" w:space="0" w:color="auto"/>
      </w:divBdr>
      <w:divsChild>
        <w:div w:id="1800219205">
          <w:marLeft w:val="480"/>
          <w:marRight w:val="0"/>
          <w:marTop w:val="0"/>
          <w:marBottom w:val="0"/>
          <w:divBdr>
            <w:top w:val="none" w:sz="0" w:space="0" w:color="auto"/>
            <w:left w:val="none" w:sz="0" w:space="0" w:color="auto"/>
            <w:bottom w:val="none" w:sz="0" w:space="0" w:color="auto"/>
            <w:right w:val="none" w:sz="0" w:space="0" w:color="auto"/>
          </w:divBdr>
          <w:divsChild>
            <w:div w:id="1848205643">
              <w:marLeft w:val="480"/>
              <w:marRight w:val="0"/>
              <w:marTop w:val="0"/>
              <w:marBottom w:val="0"/>
              <w:divBdr>
                <w:top w:val="none" w:sz="0" w:space="0" w:color="auto"/>
                <w:left w:val="none" w:sz="0" w:space="0" w:color="auto"/>
                <w:bottom w:val="none" w:sz="0" w:space="0" w:color="auto"/>
                <w:right w:val="none" w:sz="0" w:space="0" w:color="auto"/>
              </w:divBdr>
              <w:divsChild>
                <w:div w:id="1806041463">
                  <w:marLeft w:val="480"/>
                  <w:marRight w:val="0"/>
                  <w:marTop w:val="0"/>
                  <w:marBottom w:val="0"/>
                  <w:divBdr>
                    <w:top w:val="none" w:sz="0" w:space="0" w:color="auto"/>
                    <w:left w:val="none" w:sz="0" w:space="0" w:color="auto"/>
                    <w:bottom w:val="none" w:sz="0" w:space="0" w:color="auto"/>
                    <w:right w:val="none" w:sz="0" w:space="0" w:color="auto"/>
                  </w:divBdr>
                </w:div>
                <w:div w:id="663359942">
                  <w:marLeft w:val="480"/>
                  <w:marRight w:val="0"/>
                  <w:marTop w:val="0"/>
                  <w:marBottom w:val="0"/>
                  <w:divBdr>
                    <w:top w:val="none" w:sz="0" w:space="0" w:color="auto"/>
                    <w:left w:val="none" w:sz="0" w:space="0" w:color="auto"/>
                    <w:bottom w:val="none" w:sz="0" w:space="0" w:color="auto"/>
                    <w:right w:val="none" w:sz="0" w:space="0" w:color="auto"/>
                  </w:divBdr>
                </w:div>
              </w:divsChild>
            </w:div>
            <w:div w:id="652103638">
              <w:marLeft w:val="480"/>
              <w:marRight w:val="0"/>
              <w:marTop w:val="0"/>
              <w:marBottom w:val="0"/>
              <w:divBdr>
                <w:top w:val="none" w:sz="0" w:space="0" w:color="auto"/>
                <w:left w:val="none" w:sz="0" w:space="0" w:color="auto"/>
                <w:bottom w:val="none" w:sz="0" w:space="0" w:color="auto"/>
                <w:right w:val="none" w:sz="0" w:space="0" w:color="auto"/>
              </w:divBdr>
            </w:div>
          </w:divsChild>
        </w:div>
        <w:div w:id="623317485">
          <w:marLeft w:val="480"/>
          <w:marRight w:val="0"/>
          <w:marTop w:val="0"/>
          <w:marBottom w:val="0"/>
          <w:divBdr>
            <w:top w:val="none" w:sz="0" w:space="0" w:color="auto"/>
            <w:left w:val="none" w:sz="0" w:space="0" w:color="auto"/>
            <w:bottom w:val="none" w:sz="0" w:space="0" w:color="auto"/>
            <w:right w:val="none" w:sz="0" w:space="0" w:color="auto"/>
          </w:divBdr>
        </w:div>
        <w:div w:id="1177496700">
          <w:marLeft w:val="480"/>
          <w:marRight w:val="0"/>
          <w:marTop w:val="0"/>
          <w:marBottom w:val="0"/>
          <w:divBdr>
            <w:top w:val="none" w:sz="0" w:space="0" w:color="auto"/>
            <w:left w:val="none" w:sz="0" w:space="0" w:color="auto"/>
            <w:bottom w:val="none" w:sz="0" w:space="0" w:color="auto"/>
            <w:right w:val="none" w:sz="0" w:space="0" w:color="auto"/>
          </w:divBdr>
        </w:div>
        <w:div w:id="650868755">
          <w:marLeft w:val="480"/>
          <w:marRight w:val="0"/>
          <w:marTop w:val="0"/>
          <w:marBottom w:val="0"/>
          <w:divBdr>
            <w:top w:val="none" w:sz="0" w:space="0" w:color="auto"/>
            <w:left w:val="none" w:sz="0" w:space="0" w:color="auto"/>
            <w:bottom w:val="none" w:sz="0" w:space="0" w:color="auto"/>
            <w:right w:val="none" w:sz="0" w:space="0" w:color="auto"/>
          </w:divBdr>
        </w:div>
      </w:divsChild>
    </w:div>
    <w:div w:id="749691453">
      <w:bodyDiv w:val="1"/>
      <w:marLeft w:val="0"/>
      <w:marRight w:val="0"/>
      <w:marTop w:val="0"/>
      <w:marBottom w:val="0"/>
      <w:divBdr>
        <w:top w:val="none" w:sz="0" w:space="0" w:color="auto"/>
        <w:left w:val="none" w:sz="0" w:space="0" w:color="auto"/>
        <w:bottom w:val="none" w:sz="0" w:space="0" w:color="auto"/>
        <w:right w:val="none" w:sz="0" w:space="0" w:color="auto"/>
      </w:divBdr>
    </w:div>
    <w:div w:id="147621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dvance.lexis.com/document/documentlink/?pdmfid=1000516&amp;crid=bb934bf1-cfec-47c3-bbe2-14a40ce6199a&amp;pddocfullpath=%2Fshared%2Fdocument%2Fstatutes-legislation%2Furn%3AcontentItem%3A630G-6S93-CH1B-T3NR-00000-00&amp;pdcontentcomponentid=6362&amp;pddoctitle=Internal+Revenue+Code+Section+21&amp;pdproductcontenttypeid=urn%3Apct%3A83&amp;pdiskwicview=false&amp;ecomp=zssyk&amp;prid=d45e0d3d-a0a6-4bbb-a66e-95abfdeda2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4CC756FBE840A28161AD1B39416E8F"/>
        <w:category>
          <w:name w:val="General"/>
          <w:gallery w:val="placeholder"/>
        </w:category>
        <w:types>
          <w:type w:val="bbPlcHdr"/>
        </w:types>
        <w:behaviors>
          <w:behavior w:val="content"/>
        </w:behaviors>
        <w:guid w:val="{B0DEC0BA-FD30-475F-8D12-6E4081BB356D}"/>
      </w:docPartPr>
      <w:docPartBody>
        <w:p w:rsidR="008036BE" w:rsidRDefault="008036BE">
          <w:pPr>
            <w:pStyle w:val="104CC756FBE840A28161AD1B39416E8F"/>
          </w:pPr>
          <w:r w:rsidRPr="00B844FE">
            <w:t>Prefix Text</w:t>
          </w:r>
        </w:p>
      </w:docPartBody>
    </w:docPart>
    <w:docPart>
      <w:docPartPr>
        <w:name w:val="126915A3801F41DB8CD2C6BAA864047D"/>
        <w:category>
          <w:name w:val="General"/>
          <w:gallery w:val="placeholder"/>
        </w:category>
        <w:types>
          <w:type w:val="bbPlcHdr"/>
        </w:types>
        <w:behaviors>
          <w:behavior w:val="content"/>
        </w:behaviors>
        <w:guid w:val="{1D7961EE-2B1C-498C-B98E-56963B4DE3BD}"/>
      </w:docPartPr>
      <w:docPartBody>
        <w:p w:rsidR="008036BE" w:rsidRDefault="008036BE">
          <w:pPr>
            <w:pStyle w:val="126915A3801F41DB8CD2C6BAA864047D"/>
          </w:pPr>
          <w:r w:rsidRPr="00B844FE">
            <w:t>[Type here]</w:t>
          </w:r>
        </w:p>
      </w:docPartBody>
    </w:docPart>
    <w:docPart>
      <w:docPartPr>
        <w:name w:val="1BA32CC05B2D4CF68513D5BE1C684EB4"/>
        <w:category>
          <w:name w:val="General"/>
          <w:gallery w:val="placeholder"/>
        </w:category>
        <w:types>
          <w:type w:val="bbPlcHdr"/>
        </w:types>
        <w:behaviors>
          <w:behavior w:val="content"/>
        </w:behaviors>
        <w:guid w:val="{ACB2C187-BBB8-4090-833B-43EA708131F1}"/>
      </w:docPartPr>
      <w:docPartBody>
        <w:p w:rsidR="008036BE" w:rsidRDefault="008036BE">
          <w:pPr>
            <w:pStyle w:val="1BA32CC05B2D4CF68513D5BE1C684EB4"/>
          </w:pPr>
          <w:r w:rsidRPr="00B844FE">
            <w:t>Number</w:t>
          </w:r>
        </w:p>
      </w:docPartBody>
    </w:docPart>
    <w:docPart>
      <w:docPartPr>
        <w:name w:val="AAD4F04ED68A456F9EEC03B15ACFE254"/>
        <w:category>
          <w:name w:val="General"/>
          <w:gallery w:val="placeholder"/>
        </w:category>
        <w:types>
          <w:type w:val="bbPlcHdr"/>
        </w:types>
        <w:behaviors>
          <w:behavior w:val="content"/>
        </w:behaviors>
        <w:guid w:val="{20B1F8A7-5318-4494-8474-8D26AF3DD725}"/>
      </w:docPartPr>
      <w:docPartBody>
        <w:p w:rsidR="008036BE" w:rsidRDefault="008036BE">
          <w:pPr>
            <w:pStyle w:val="AAD4F04ED68A456F9EEC03B15ACFE254"/>
          </w:pPr>
          <w:r w:rsidRPr="00B844FE">
            <w:t>Enter Sponsors Here</w:t>
          </w:r>
        </w:p>
      </w:docPartBody>
    </w:docPart>
    <w:docPart>
      <w:docPartPr>
        <w:name w:val="9FF2C1C1015D40DEA84E67F0D1931023"/>
        <w:category>
          <w:name w:val="General"/>
          <w:gallery w:val="placeholder"/>
        </w:category>
        <w:types>
          <w:type w:val="bbPlcHdr"/>
        </w:types>
        <w:behaviors>
          <w:behavior w:val="content"/>
        </w:behaviors>
        <w:guid w:val="{BE668F77-ACAB-4697-956E-15218CDDED59}"/>
      </w:docPartPr>
      <w:docPartBody>
        <w:p w:rsidR="008036BE" w:rsidRDefault="008036BE">
          <w:pPr>
            <w:pStyle w:val="9FF2C1C1015D40DEA84E67F0D19310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BE"/>
    <w:rsid w:val="0080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4CC756FBE840A28161AD1B39416E8F">
    <w:name w:val="104CC756FBE840A28161AD1B39416E8F"/>
  </w:style>
  <w:style w:type="paragraph" w:customStyle="1" w:styleId="126915A3801F41DB8CD2C6BAA864047D">
    <w:name w:val="126915A3801F41DB8CD2C6BAA864047D"/>
  </w:style>
  <w:style w:type="paragraph" w:customStyle="1" w:styleId="1BA32CC05B2D4CF68513D5BE1C684EB4">
    <w:name w:val="1BA32CC05B2D4CF68513D5BE1C684EB4"/>
  </w:style>
  <w:style w:type="paragraph" w:customStyle="1" w:styleId="AAD4F04ED68A456F9EEC03B15ACFE254">
    <w:name w:val="AAD4F04ED68A456F9EEC03B15ACFE254"/>
  </w:style>
  <w:style w:type="character" w:styleId="PlaceholderText">
    <w:name w:val="Placeholder Text"/>
    <w:basedOn w:val="DefaultParagraphFont"/>
    <w:uiPriority w:val="99"/>
    <w:semiHidden/>
    <w:rPr>
      <w:color w:val="808080"/>
    </w:rPr>
  </w:style>
  <w:style w:type="paragraph" w:customStyle="1" w:styleId="9FF2C1C1015D40DEA84E67F0D1931023">
    <w:name w:val="9FF2C1C1015D40DEA84E67F0D1931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Robert Altmann</cp:lastModifiedBy>
  <cp:revision>2</cp:revision>
  <dcterms:created xsi:type="dcterms:W3CDTF">2023-02-10T17:48:00Z</dcterms:created>
  <dcterms:modified xsi:type="dcterms:W3CDTF">2023-02-10T17:48:00Z</dcterms:modified>
</cp:coreProperties>
</file>